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rPr>
          <w:rFonts w:ascii="黑体" w:hAnsi="黑体" w:eastAsia="黑体"/>
          <w:sz w:val="30"/>
          <w:szCs w:val="30"/>
        </w:rPr>
      </w:pPr>
      <w:r>
        <w:rPr>
          <w:rFonts w:ascii="黑体" w:hAnsi="黑体" w:eastAsia="黑体"/>
          <w:sz w:val="30"/>
          <w:szCs w:val="30"/>
        </w:rPr>
        <w:t>附件</w:t>
      </w:r>
    </w:p>
    <w:p>
      <w:pPr>
        <w:snapToGrid w:val="0"/>
        <w:spacing w:line="520" w:lineRule="exact"/>
        <w:rPr>
          <w:rFonts w:ascii="Times New Roman" w:hAnsi="Times New Roman" w:eastAsia="仿宋_GB2312"/>
          <w:sz w:val="30"/>
          <w:szCs w:val="30"/>
        </w:rPr>
      </w:pPr>
    </w:p>
    <w:p>
      <w:pPr>
        <w:snapToGrid w:val="0"/>
        <w:spacing w:line="520" w:lineRule="exact"/>
        <w:rPr>
          <w:rFonts w:ascii="Times New Roman" w:hAnsi="Times New Roman" w:eastAsia="仿宋_GB2312"/>
          <w:sz w:val="44"/>
          <w:szCs w:val="30"/>
        </w:rPr>
      </w:pPr>
    </w:p>
    <w:p>
      <w:pPr>
        <w:snapToGrid w:val="0"/>
        <w:spacing w:line="520" w:lineRule="exact"/>
        <w:rPr>
          <w:rFonts w:ascii="Times New Roman" w:hAnsi="Times New Roman" w:eastAsia="仿宋_GB2312"/>
          <w:sz w:val="44"/>
          <w:szCs w:val="30"/>
        </w:rPr>
      </w:pPr>
    </w:p>
    <w:p>
      <w:pPr>
        <w:snapToGrid w:val="0"/>
        <w:spacing w:line="240" w:lineRule="atLeast"/>
        <w:jc w:val="center"/>
        <w:rPr>
          <w:rFonts w:ascii="Times New Roman" w:hAnsi="Times New Roman" w:eastAsia="方正小标宋简体"/>
          <w:sz w:val="52"/>
          <w:szCs w:val="36"/>
        </w:rPr>
      </w:pPr>
      <w:r>
        <w:rPr>
          <w:rFonts w:ascii="Times New Roman" w:hAnsi="Times New Roman" w:eastAsia="方正小标宋简体"/>
          <w:sz w:val="52"/>
          <w:szCs w:val="36"/>
        </w:rPr>
        <w:t>202</w:t>
      </w:r>
      <w:r>
        <w:rPr>
          <w:rFonts w:hint="default" w:ascii="Times New Roman" w:hAnsi="Times New Roman" w:eastAsia="方正小标宋简体"/>
          <w:sz w:val="52"/>
          <w:szCs w:val="36"/>
        </w:rPr>
        <w:t>3</w:t>
      </w:r>
      <w:r>
        <w:rPr>
          <w:rFonts w:ascii="Times New Roman" w:hAnsi="Times New Roman" w:eastAsia="方正小标宋简体"/>
          <w:sz w:val="52"/>
          <w:szCs w:val="36"/>
        </w:rPr>
        <w:t>年陕西高职院校技能大赛</w:t>
      </w:r>
    </w:p>
    <w:p>
      <w:pPr>
        <w:snapToGrid w:val="0"/>
        <w:spacing w:line="240" w:lineRule="atLeast"/>
        <w:jc w:val="center"/>
        <w:rPr>
          <w:rFonts w:ascii="Times New Roman" w:hAnsi="Times New Roman" w:eastAsia="方正小标宋简体"/>
          <w:sz w:val="52"/>
          <w:szCs w:val="36"/>
        </w:rPr>
      </w:pPr>
      <w:r>
        <w:rPr>
          <w:rFonts w:ascii="Times New Roman" w:hAnsi="Times New Roman" w:eastAsia="方正小标宋简体"/>
          <w:sz w:val="52"/>
          <w:szCs w:val="36"/>
        </w:rPr>
        <w:t>自设赛项申报书</w:t>
      </w:r>
    </w:p>
    <w:p>
      <w:pPr>
        <w:snapToGrid w:val="0"/>
        <w:spacing w:line="560" w:lineRule="exact"/>
        <w:rPr>
          <w:rFonts w:ascii="Times New Roman" w:hAnsi="Times New Roman" w:eastAsia="仿宋_GB2312"/>
          <w:sz w:val="30"/>
          <w:szCs w:val="30"/>
        </w:rPr>
      </w:pPr>
    </w:p>
    <w:p>
      <w:pPr>
        <w:snapToGrid w:val="0"/>
        <w:spacing w:line="560" w:lineRule="exact"/>
        <w:rPr>
          <w:rFonts w:ascii="Times New Roman" w:hAnsi="Times New Roman" w:eastAsia="仿宋_GB2312"/>
          <w:sz w:val="30"/>
          <w:szCs w:val="30"/>
        </w:rPr>
      </w:pP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赛项名称：</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赛项类别：常规赛项□     行业特色赛项□</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专业大类/类：</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方案申报单位（盖章）：</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方案申报负责人：</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负责人手机号码：</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方案申报单位联络人：</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联络人手机号码：</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联络人电子邮箱：</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通讯地址：</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申报日期：</w:t>
      </w:r>
    </w:p>
    <w:p>
      <w:pPr>
        <w:snapToGrid w:val="0"/>
        <w:spacing w:line="560" w:lineRule="exact"/>
        <w:rPr>
          <w:rFonts w:ascii="Times New Roman" w:hAnsi="Times New Roman" w:eastAsia="仿宋_GB2312"/>
          <w:sz w:val="30"/>
          <w:szCs w:val="30"/>
        </w:rPr>
      </w:pPr>
    </w:p>
    <w:p>
      <w:pPr>
        <w:widowControl/>
        <w:jc w:val="left"/>
        <w:rPr>
          <w:rFonts w:ascii="Times New Roman" w:hAnsi="Times New Roman" w:eastAsia="仿宋_GB2312"/>
          <w:sz w:val="30"/>
          <w:szCs w:val="30"/>
        </w:rPr>
        <w:sectPr>
          <w:footerReference r:id="rId4" w:type="even"/>
          <w:pgSz w:w="11906" w:h="16838"/>
          <w:pgMar w:top="2098" w:right="1474" w:bottom="1985" w:left="1588" w:header="851" w:footer="992" w:gutter="0"/>
          <w:cols w:space="720" w:num="1"/>
          <w:docGrid w:type="lines" w:linePitch="312" w:charSpace="0"/>
        </w:sectPr>
      </w:pPr>
    </w:p>
    <w:p>
      <w:pPr>
        <w:widowControl/>
        <w:jc w:val="left"/>
        <w:rPr>
          <w:rFonts w:ascii="Times New Roman" w:hAnsi="Times New Roman" w:eastAsia="仿宋_GB2312"/>
          <w:sz w:val="30"/>
          <w:szCs w:val="30"/>
        </w:rPr>
      </w:pPr>
      <w:r>
        <w:rPr>
          <w:rFonts w:ascii="Times New Roman" w:hAnsi="Times New Roman" w:eastAsia="仿宋_GB2312"/>
          <w:sz w:val="30"/>
          <w:szCs w:val="30"/>
        </w:rPr>
        <w:t>内容要求</w:t>
      </w:r>
      <w:r>
        <w:rPr>
          <w:rStyle w:val="11"/>
          <w:rFonts w:ascii="Times New Roman" w:hAnsi="Times New Roman" w:eastAsia="仿宋_GB2312"/>
          <w:sz w:val="30"/>
          <w:szCs w:val="30"/>
        </w:rPr>
        <w:footnoteReference w:id="0"/>
      </w:r>
      <w:r>
        <w:rPr>
          <w:rFonts w:ascii="Times New Roman" w:hAnsi="Times New Roman" w:eastAsia="仿宋_GB2312"/>
          <w:sz w:val="30"/>
          <w:szCs w:val="30"/>
        </w:rPr>
        <w:t>：</w:t>
      </w:r>
    </w:p>
    <w:p>
      <w:pPr>
        <w:snapToGrid w:val="0"/>
        <w:spacing w:line="540" w:lineRule="exact"/>
        <w:jc w:val="center"/>
        <w:rPr>
          <w:rFonts w:ascii="Times New Roman" w:hAnsi="Times New Roman" w:eastAsia="方正小标宋简体"/>
          <w:sz w:val="44"/>
          <w:szCs w:val="36"/>
        </w:rPr>
      </w:pPr>
      <w:r>
        <w:rPr>
          <w:rFonts w:ascii="Times New Roman" w:hAnsi="Times New Roman" w:eastAsia="方正小标宋简体"/>
          <w:sz w:val="44"/>
          <w:szCs w:val="36"/>
        </w:rPr>
        <w:t>202</w:t>
      </w:r>
      <w:r>
        <w:rPr>
          <w:rFonts w:hint="default" w:ascii="Times New Roman" w:hAnsi="Times New Roman" w:eastAsia="方正小标宋简体"/>
          <w:sz w:val="44"/>
          <w:szCs w:val="36"/>
        </w:rPr>
        <w:t>3</w:t>
      </w:r>
      <w:r>
        <w:rPr>
          <w:rFonts w:ascii="Times New Roman" w:hAnsi="Times New Roman" w:eastAsia="方正小标宋简体"/>
          <w:sz w:val="44"/>
          <w:szCs w:val="36"/>
        </w:rPr>
        <w:t>年陕西高职院校技能大赛</w:t>
      </w:r>
    </w:p>
    <w:p>
      <w:pPr>
        <w:snapToGrid w:val="0"/>
        <w:spacing w:line="540" w:lineRule="exact"/>
        <w:jc w:val="center"/>
        <w:rPr>
          <w:rFonts w:ascii="Times New Roman" w:hAnsi="Times New Roman" w:eastAsia="方正小标宋简体"/>
          <w:sz w:val="44"/>
          <w:szCs w:val="36"/>
        </w:rPr>
      </w:pPr>
      <w:r>
        <w:rPr>
          <w:rFonts w:ascii="Times New Roman" w:hAnsi="Times New Roman" w:eastAsia="方正小标宋简体"/>
          <w:sz w:val="44"/>
          <w:szCs w:val="36"/>
        </w:rPr>
        <w:t>自设赛项申报方案</w:t>
      </w:r>
      <w:bookmarkStart w:id="0" w:name="_GoBack"/>
      <w:bookmarkEnd w:id="0"/>
    </w:p>
    <w:p>
      <w:pPr>
        <w:snapToGrid w:val="0"/>
        <w:spacing w:line="560" w:lineRule="exact"/>
        <w:ind w:firstLine="560" w:firstLineChars="200"/>
        <w:rPr>
          <w:rFonts w:ascii="Times New Roman" w:hAnsi="Times New Roman" w:eastAsia="黑体"/>
          <w:bCs/>
          <w:sz w:val="28"/>
          <w:szCs w:val="32"/>
        </w:rPr>
      </w:pPr>
      <w:r>
        <w:rPr>
          <w:rFonts w:ascii="Times New Roman" w:hAnsi="Times New Roman" w:eastAsia="黑体"/>
          <w:bCs/>
          <w:sz w:val="28"/>
          <w:szCs w:val="32"/>
        </w:rPr>
        <w:t>一、赛项名称</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（一）赛项名称</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应根据比赛的内容或核心技术或技能确定赛项名称，不能以单一技能、工种名称直接命名。</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（二）赛项归属产业类型</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（三）赛项归属专业大类/类</w:t>
      </w:r>
    </w:p>
    <w:tbl>
      <w:tblPr>
        <w:tblStyle w:val="8"/>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71"/>
        <w:gridCol w:w="1465"/>
        <w:gridCol w:w="1464"/>
        <w:gridCol w:w="2701"/>
      </w:tblGrid>
      <w:tr>
        <w:trPr>
          <w:trHeight w:val="495"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32"/>
              </w:rPr>
            </w:pPr>
            <w:r>
              <w:rPr>
                <w:rFonts w:ascii="Times New Roman" w:hAnsi="Times New Roman" w:eastAsia="仿宋_GB2312"/>
                <w:sz w:val="28"/>
                <w:szCs w:val="32"/>
              </w:rPr>
              <w:t>组别</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32"/>
              </w:rPr>
            </w:pPr>
            <w:r>
              <w:rPr>
                <w:rFonts w:ascii="Times New Roman" w:hAnsi="Times New Roman" w:eastAsia="仿宋_GB2312"/>
                <w:sz w:val="28"/>
                <w:szCs w:val="32"/>
              </w:rPr>
              <w:t>专业大类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32"/>
              </w:rPr>
            </w:pPr>
            <w:r>
              <w:rPr>
                <w:rFonts w:ascii="Times New Roman" w:hAnsi="Times New Roman" w:eastAsia="仿宋_GB2312"/>
                <w:sz w:val="28"/>
                <w:szCs w:val="32"/>
              </w:rPr>
              <w:t>专业类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32"/>
              </w:rPr>
            </w:pPr>
            <w:r>
              <w:rPr>
                <w:rFonts w:ascii="Times New Roman" w:hAnsi="Times New Roman" w:eastAsia="仿宋_GB2312"/>
                <w:sz w:val="28"/>
                <w:szCs w:val="32"/>
              </w:rPr>
              <w:t>专业代码</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32"/>
              </w:rPr>
            </w:pPr>
            <w:r>
              <w:rPr>
                <w:rFonts w:ascii="Times New Roman" w:hAnsi="Times New Roman" w:eastAsia="仿宋_GB2312"/>
                <w:sz w:val="28"/>
                <w:szCs w:val="32"/>
              </w:rPr>
              <w:t>专业名称</w:t>
            </w:r>
          </w:p>
        </w:tc>
      </w:tr>
      <w:tr>
        <w:trPr>
          <w:trHeight w:val="462"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32"/>
              </w:rPr>
            </w:pPr>
            <w:r>
              <w:rPr>
                <w:rFonts w:ascii="Times New Roman" w:hAnsi="Times New Roman" w:eastAsia="仿宋_GB2312"/>
                <w:sz w:val="28"/>
                <w:szCs w:val="32"/>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32"/>
              </w:rPr>
            </w:pP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32"/>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32"/>
              </w:rPr>
            </w:pP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32"/>
              </w:rPr>
            </w:pPr>
          </w:p>
        </w:tc>
      </w:tr>
    </w:tbl>
    <w:p>
      <w:pPr>
        <w:snapToGrid w:val="0"/>
        <w:spacing w:line="44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注：请按现行的《普通高等学校高等职业教育（专科）专业目录》标准，明确赛项对应的专业类别、代码及名称。</w:t>
      </w:r>
    </w:p>
    <w:p>
      <w:pPr>
        <w:snapToGrid w:val="0"/>
        <w:spacing w:line="560" w:lineRule="exact"/>
        <w:ind w:firstLine="560" w:firstLineChars="200"/>
        <w:rPr>
          <w:rFonts w:ascii="Times New Roman" w:hAnsi="Times New Roman" w:eastAsia="仿宋_GB2312"/>
          <w:bCs/>
          <w:sz w:val="28"/>
          <w:szCs w:val="32"/>
        </w:rPr>
      </w:pPr>
      <w:r>
        <w:rPr>
          <w:rFonts w:ascii="Times New Roman" w:hAnsi="Times New Roman" w:eastAsia="黑体"/>
          <w:bCs/>
          <w:sz w:val="28"/>
          <w:szCs w:val="32"/>
        </w:rPr>
        <w:t>二、赛项目的与设计原则</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围绕引领职业院校专业建设与课程改革，促进产教融合、校企合作、产业发展，展示职教改革成果及师生良好精神面貌等方面阐明赛项设计的目的和意义。</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设计原则：</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（一）公开、公平、公正。</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（二）赛项关联专业人才需求量大或行业人才紧缺或职业院校开设专业点多，服务国家重点战略。</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（三）竞赛内容对应相关职业岗位或岗位群、体现专业核心能力与核心知识、涵盖丰富的专业知识与专业技能点。</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（四）竞赛平台成熟。根据行业特点，赛项选择相对先进、通用性强、社会保有量高的设备与软件。</w:t>
      </w:r>
    </w:p>
    <w:p>
      <w:pPr>
        <w:snapToGrid w:val="0"/>
        <w:spacing w:line="560" w:lineRule="exact"/>
        <w:ind w:firstLine="560" w:firstLineChars="200"/>
        <w:rPr>
          <w:rFonts w:ascii="Times New Roman" w:hAnsi="Times New Roman" w:eastAsia="仿宋_GB2312"/>
          <w:bCs/>
          <w:sz w:val="28"/>
          <w:szCs w:val="32"/>
        </w:rPr>
      </w:pPr>
      <w:r>
        <w:rPr>
          <w:rFonts w:ascii="Times New Roman" w:hAnsi="Times New Roman" w:eastAsia="黑体"/>
          <w:bCs/>
          <w:sz w:val="28"/>
          <w:szCs w:val="32"/>
        </w:rPr>
        <w:t>三、赛项方案的特色与创新点</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应在竞赛内容选择、竞赛过程安排、竞赛结果评判、竞赛资源转化等方面形成赛项的特色与创新点。</w:t>
      </w:r>
    </w:p>
    <w:p>
      <w:pPr>
        <w:snapToGrid w:val="0"/>
        <w:spacing w:line="560" w:lineRule="exact"/>
        <w:ind w:firstLine="560" w:firstLineChars="200"/>
        <w:rPr>
          <w:rFonts w:ascii="Times New Roman" w:hAnsi="Times New Roman" w:eastAsia="黑体"/>
          <w:bCs/>
          <w:sz w:val="28"/>
          <w:szCs w:val="32"/>
        </w:rPr>
      </w:pPr>
      <w:r>
        <w:rPr>
          <w:rFonts w:ascii="Times New Roman" w:hAnsi="Times New Roman" w:eastAsia="黑体"/>
          <w:bCs/>
          <w:sz w:val="28"/>
          <w:szCs w:val="32"/>
        </w:rPr>
        <w:t>四、竞赛内容简介</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概述竞赛内容，侧重于比赛涉及的核心技能和职业素养（不多于500字）。</w:t>
      </w:r>
    </w:p>
    <w:p>
      <w:pPr>
        <w:snapToGrid w:val="0"/>
        <w:spacing w:line="560" w:lineRule="exact"/>
        <w:ind w:firstLine="560" w:firstLineChars="200"/>
        <w:rPr>
          <w:rFonts w:ascii="Times New Roman" w:hAnsi="Times New Roman" w:eastAsia="黑体"/>
          <w:bCs/>
          <w:sz w:val="28"/>
          <w:szCs w:val="32"/>
        </w:rPr>
      </w:pPr>
      <w:r>
        <w:rPr>
          <w:rFonts w:ascii="Times New Roman" w:hAnsi="Times New Roman" w:eastAsia="黑体"/>
          <w:bCs/>
          <w:sz w:val="28"/>
          <w:szCs w:val="32"/>
        </w:rPr>
        <w:t>五、竞赛方式（组队要求）</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竞赛方式应明确是团体赛还是个人赛。</w:t>
      </w:r>
    </w:p>
    <w:p>
      <w:pPr>
        <w:snapToGrid w:val="0"/>
        <w:spacing w:line="560" w:lineRule="exact"/>
        <w:ind w:firstLine="560" w:firstLineChars="200"/>
        <w:rPr>
          <w:rFonts w:ascii="Times New Roman" w:hAnsi="Times New Roman" w:eastAsia="黑体"/>
          <w:bCs/>
          <w:sz w:val="28"/>
          <w:szCs w:val="32"/>
        </w:rPr>
      </w:pPr>
      <w:r>
        <w:rPr>
          <w:rFonts w:ascii="Times New Roman" w:hAnsi="Times New Roman" w:eastAsia="黑体"/>
          <w:bCs/>
          <w:sz w:val="28"/>
          <w:szCs w:val="32"/>
        </w:rPr>
        <w:t>六、竞赛时间安排与流程</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应用表格或流程图简洁、明确地说明竞赛日程与流程安排。</w:t>
      </w:r>
    </w:p>
    <w:p>
      <w:pPr>
        <w:snapToGrid w:val="0"/>
        <w:spacing w:line="560" w:lineRule="exact"/>
        <w:ind w:firstLine="560" w:firstLineChars="200"/>
        <w:rPr>
          <w:rFonts w:ascii="Times New Roman" w:hAnsi="Times New Roman" w:eastAsia="仿宋_GB2312"/>
          <w:bCs/>
          <w:sz w:val="28"/>
          <w:szCs w:val="32"/>
        </w:rPr>
      </w:pPr>
      <w:r>
        <w:rPr>
          <w:rFonts w:ascii="Times New Roman" w:hAnsi="Times New Roman" w:eastAsia="黑体"/>
          <w:bCs/>
          <w:sz w:val="28"/>
          <w:szCs w:val="32"/>
        </w:rPr>
        <w:t>七、技术规范</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列出竞赛内容涉及技术规范的全部信息，包括相关的专业教育教学要求，行业、职业技术标准等。</w:t>
      </w:r>
    </w:p>
    <w:p>
      <w:pPr>
        <w:snapToGrid w:val="0"/>
        <w:spacing w:line="560" w:lineRule="exact"/>
        <w:ind w:firstLine="560" w:firstLineChars="200"/>
        <w:rPr>
          <w:rFonts w:ascii="Times New Roman" w:hAnsi="Times New Roman" w:eastAsia="仿宋_GB2312"/>
          <w:bCs/>
          <w:sz w:val="28"/>
          <w:szCs w:val="32"/>
        </w:rPr>
      </w:pPr>
      <w:r>
        <w:rPr>
          <w:rFonts w:ascii="Times New Roman" w:hAnsi="Times New Roman" w:eastAsia="黑体"/>
          <w:bCs/>
          <w:sz w:val="28"/>
          <w:szCs w:val="32"/>
        </w:rPr>
        <w:t>八、建议使用的比赛器材、技术平台和场地要求</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提供赛项所需的技术平台，包括参考硬件和软件信息、参考机器设备信息、参考工具器具信息等。</w:t>
      </w:r>
      <w:r>
        <w:rPr>
          <w:rFonts w:ascii="Times New Roman" w:hAnsi="Times New Roman" w:eastAsia="仿宋_GB2312"/>
          <w:b/>
          <w:bCs/>
          <w:sz w:val="28"/>
          <w:szCs w:val="32"/>
        </w:rPr>
        <w:t>不得出现企业名称。</w:t>
      </w:r>
    </w:p>
    <w:p>
      <w:pPr>
        <w:snapToGrid w:val="0"/>
        <w:spacing w:line="560" w:lineRule="exact"/>
        <w:ind w:firstLine="560" w:firstLineChars="200"/>
        <w:rPr>
          <w:rFonts w:ascii="Times New Roman" w:hAnsi="Times New Roman" w:eastAsia="仿宋_GB2312"/>
          <w:bCs/>
          <w:sz w:val="28"/>
          <w:szCs w:val="32"/>
        </w:rPr>
      </w:pPr>
      <w:r>
        <w:rPr>
          <w:rFonts w:ascii="Times New Roman" w:hAnsi="Times New Roman" w:eastAsia="黑体"/>
          <w:bCs/>
          <w:sz w:val="28"/>
          <w:szCs w:val="32"/>
        </w:rPr>
        <w:t>十、实施保障</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仿宋_GB2312"/>
          <w:sz w:val="28"/>
          <w:szCs w:val="32"/>
        </w:rPr>
        <w:t>按照《全国职业院校技能大赛安全管理规定》的有关要求，依据申报赛项自身特点，明确所需的安全保障措施。</w:t>
      </w:r>
    </w:p>
    <w:p>
      <w:pPr>
        <w:snapToGrid w:val="0"/>
        <w:spacing w:line="560" w:lineRule="exact"/>
        <w:ind w:firstLine="560" w:firstLineChars="200"/>
        <w:rPr>
          <w:rFonts w:ascii="Times New Roman" w:hAnsi="Times New Roman" w:eastAsia="仿宋_GB2312"/>
          <w:sz w:val="28"/>
          <w:szCs w:val="32"/>
        </w:rPr>
      </w:pPr>
      <w:r>
        <w:rPr>
          <w:rFonts w:ascii="Times New Roman" w:hAnsi="Times New Roman" w:eastAsia="黑体"/>
          <w:bCs/>
          <w:sz w:val="28"/>
          <w:szCs w:val="32"/>
        </w:rPr>
        <w:t>十一、其它</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方正小标宋简体">
    <w:panose1 w:val="02000000000000000000"/>
    <w:charset w:val="86"/>
    <w:family w:val="script"/>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eastAsiaTheme="minorEastAsia"/>
        <w:sz w:val="24"/>
        <w:szCs w:val="28"/>
      </w:rPr>
    </w:pPr>
    <w:r>
      <w:rPr>
        <w:rFonts w:hint="eastAsia" w:asciiTheme="minorEastAsia" w:hAnsiTheme="minorEastAsia" w:eastAsiaTheme="minorEastAsia"/>
        <w:sz w:val="24"/>
        <w:szCs w:val="28"/>
      </w:rPr>
      <w:t xml:space="preserve">— </w:t>
    </w:r>
    <w:r>
      <w:rPr>
        <w:rFonts w:hint="eastAsia" w:asciiTheme="minorEastAsia" w:hAnsiTheme="minorEastAsia" w:eastAsiaTheme="minorEastAsia"/>
        <w:sz w:val="24"/>
        <w:szCs w:val="28"/>
      </w:rPr>
      <w:fldChar w:fldCharType="begin"/>
    </w:r>
    <w:r>
      <w:rPr>
        <w:rFonts w:hint="eastAsia" w:asciiTheme="minorEastAsia" w:hAnsiTheme="minorEastAsia" w:eastAsiaTheme="minorEastAsia"/>
        <w:sz w:val="24"/>
        <w:szCs w:val="28"/>
      </w:rPr>
      <w:instrText xml:space="preserve"> PAGE  \* MERGEFORMAT </w:instrText>
    </w:r>
    <w:r>
      <w:rPr>
        <w:rFonts w:hint="eastAsia" w:asciiTheme="minorEastAsia" w:hAnsiTheme="minorEastAsia" w:eastAsiaTheme="minorEastAsia"/>
        <w:sz w:val="24"/>
        <w:szCs w:val="28"/>
      </w:rPr>
      <w:fldChar w:fldCharType="separate"/>
    </w:r>
    <w:r>
      <w:rPr>
        <w:rFonts w:asciiTheme="minorEastAsia" w:hAnsiTheme="minorEastAsia" w:eastAsiaTheme="minorEastAsia"/>
        <w:sz w:val="24"/>
        <w:szCs w:val="28"/>
      </w:rPr>
      <w:t>2</w:t>
    </w:r>
    <w:r>
      <w:rPr>
        <w:rFonts w:hint="eastAsia" w:asciiTheme="minorEastAsia" w:hAnsiTheme="minorEastAsia" w:eastAsiaTheme="minorEastAsia"/>
        <w:sz w:val="24"/>
        <w:szCs w:val="28"/>
      </w:rPr>
      <w:fldChar w:fldCharType="end"/>
    </w:r>
    <w:r>
      <w:rPr>
        <w:rFonts w:hint="eastAsia" w:asciiTheme="minorEastAsia" w:hAnsiTheme="minorEastAsia" w:eastAsiaTheme="minorEastAsia"/>
        <w:sz w:val="24"/>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4"/>
        <w:szCs w:val="28"/>
      </w:rPr>
    </w:pPr>
    <w:r>
      <w:rPr>
        <w:rFonts w:hint="eastAsia" w:asciiTheme="minorEastAsia" w:hAnsiTheme="minorEastAsia" w:eastAsiaTheme="minorEastAsia"/>
        <w:sz w:val="24"/>
        <w:szCs w:val="28"/>
      </w:rPr>
      <w:t xml:space="preserve">— </w:t>
    </w:r>
    <w:r>
      <w:rPr>
        <w:rFonts w:hint="eastAsia" w:asciiTheme="minorEastAsia" w:hAnsiTheme="minorEastAsia" w:eastAsiaTheme="minorEastAsia"/>
        <w:sz w:val="24"/>
        <w:szCs w:val="28"/>
      </w:rPr>
      <w:fldChar w:fldCharType="begin"/>
    </w:r>
    <w:r>
      <w:rPr>
        <w:rFonts w:hint="eastAsia" w:asciiTheme="minorEastAsia" w:hAnsiTheme="minorEastAsia" w:eastAsiaTheme="minorEastAsia"/>
        <w:sz w:val="24"/>
        <w:szCs w:val="28"/>
      </w:rPr>
      <w:instrText xml:space="preserve"> PAGE  \* MERGEFORMAT </w:instrText>
    </w:r>
    <w:r>
      <w:rPr>
        <w:rFonts w:hint="eastAsia" w:asciiTheme="minorEastAsia" w:hAnsiTheme="minorEastAsia" w:eastAsiaTheme="minorEastAsia"/>
        <w:sz w:val="24"/>
        <w:szCs w:val="28"/>
      </w:rPr>
      <w:fldChar w:fldCharType="separate"/>
    </w:r>
    <w:r>
      <w:rPr>
        <w:rFonts w:asciiTheme="minorEastAsia" w:hAnsiTheme="minorEastAsia" w:eastAsiaTheme="minorEastAsia"/>
        <w:sz w:val="24"/>
        <w:szCs w:val="28"/>
      </w:rPr>
      <w:t>1</w:t>
    </w:r>
    <w:r>
      <w:rPr>
        <w:rFonts w:hint="eastAsia" w:asciiTheme="minorEastAsia" w:hAnsiTheme="minorEastAsia" w:eastAsiaTheme="minorEastAsia"/>
        <w:sz w:val="24"/>
        <w:szCs w:val="28"/>
      </w:rPr>
      <w:fldChar w:fldCharType="end"/>
    </w:r>
    <w:r>
      <w:rPr>
        <w:rFonts w:hint="eastAsia" w:asciiTheme="minorEastAsia" w:hAnsiTheme="minorEastAsia" w:eastAsiaTheme="minorEastAsia"/>
        <w:sz w:val="24"/>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rPr>
          <w:rFonts w:ascii="仿宋_GB2312" w:eastAsia="仿宋_GB2312"/>
          <w:sz w:val="22"/>
          <w:szCs w:val="22"/>
        </w:rPr>
      </w:pPr>
      <w:r>
        <w:rPr>
          <w:rFonts w:hint="eastAsia" w:ascii="仿宋_GB2312" w:eastAsia="仿宋_GB2312"/>
          <w:sz w:val="22"/>
          <w:szCs w:val="22"/>
        </w:rPr>
        <w:t>1 页面布局：默认页边距</w:t>
      </w:r>
    </w:p>
    <w:p>
      <w:pPr>
        <w:pStyle w:val="6"/>
        <w:ind w:firstLine="220" w:firstLineChars="100"/>
        <w:rPr>
          <w:rFonts w:ascii="仿宋_GB2312" w:eastAsia="仿宋_GB2312"/>
          <w:sz w:val="22"/>
          <w:szCs w:val="22"/>
        </w:rPr>
      </w:pPr>
      <w:r>
        <w:rPr>
          <w:rFonts w:hint="eastAsia" w:ascii="仿宋_GB2312" w:eastAsia="仿宋_GB2312"/>
          <w:sz w:val="22"/>
          <w:szCs w:val="22"/>
        </w:rPr>
        <w:t>标题：小2号，黑体加粗</w:t>
      </w:r>
    </w:p>
    <w:p>
      <w:pPr>
        <w:pStyle w:val="6"/>
        <w:ind w:left="210" w:leftChars="100"/>
        <w:rPr>
          <w:rFonts w:ascii="仿宋_GB2312" w:eastAsia="仿宋_GB2312"/>
          <w:sz w:val="22"/>
          <w:szCs w:val="22"/>
        </w:rPr>
      </w:pPr>
      <w:r>
        <w:rPr>
          <w:rFonts w:hint="eastAsia" w:ascii="仿宋_GB2312" w:eastAsia="仿宋_GB2312"/>
          <w:sz w:val="22"/>
          <w:szCs w:val="22"/>
        </w:rPr>
        <w:t>正文：小3号，仿宋_GB2312，28磅行间距。结构次序数依次用“一、”“（一）”“1.”“（1）”“①”。</w:t>
      </w:r>
    </w:p>
    <w:p>
      <w:pPr>
        <w:pStyle w:val="6"/>
        <w:ind w:firstLine="220" w:firstLineChars="100"/>
        <w:rPr>
          <w:rFonts w:ascii="仿宋_GB2312" w:eastAsia="仿宋_GB2312"/>
          <w:sz w:val="22"/>
          <w:szCs w:val="22"/>
        </w:rPr>
      </w:pPr>
      <w:r>
        <w:rPr>
          <w:rFonts w:hint="eastAsia" w:ascii="仿宋_GB2312" w:eastAsia="仿宋_GB2312"/>
          <w:sz w:val="22"/>
          <w:szCs w:val="22"/>
        </w:rPr>
        <w:t>文中表格：小4号宋体，单倍行间距。表头字体小4号宋体加粗。</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E1A63"/>
    <w:rsid w:val="001A1AA2"/>
    <w:rsid w:val="002652C4"/>
    <w:rsid w:val="0026737C"/>
    <w:rsid w:val="002E18EA"/>
    <w:rsid w:val="0043699C"/>
    <w:rsid w:val="0045074D"/>
    <w:rsid w:val="004E0F22"/>
    <w:rsid w:val="004F50D0"/>
    <w:rsid w:val="007D03E8"/>
    <w:rsid w:val="00941EAB"/>
    <w:rsid w:val="00A31697"/>
    <w:rsid w:val="00B650C3"/>
    <w:rsid w:val="00C23559"/>
    <w:rsid w:val="00CC0A26"/>
    <w:rsid w:val="00D10E47"/>
    <w:rsid w:val="00DB1BF0"/>
    <w:rsid w:val="00F17729"/>
    <w:rsid w:val="00FB13F2"/>
    <w:rsid w:val="00FC1F0C"/>
    <w:rsid w:val="10907F32"/>
    <w:rsid w:val="15405F2B"/>
    <w:rsid w:val="28627691"/>
    <w:rsid w:val="29DE9F1D"/>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iPriority w:val="0"/>
    <w:pPr>
      <w:jc w:val="left"/>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link w:val="15"/>
    <w:qFormat/>
    <w:uiPriority w:val="0"/>
    <w:pPr>
      <w:snapToGrid w:val="0"/>
      <w:jc w:val="left"/>
    </w:pPr>
    <w:rPr>
      <w:kern w:val="0"/>
      <w:sz w:val="18"/>
      <w:szCs w:val="18"/>
    </w:rPr>
  </w:style>
  <w:style w:type="paragraph" w:styleId="7">
    <w:name w:val="annotation subject"/>
    <w:basedOn w:val="2"/>
    <w:next w:val="2"/>
    <w:link w:val="13"/>
    <w:uiPriority w:val="0"/>
    <w:rPr>
      <w:b/>
      <w:bCs/>
    </w:rPr>
  </w:style>
  <w:style w:type="character" w:styleId="10">
    <w:name w:val="annotation reference"/>
    <w:basedOn w:val="9"/>
    <w:uiPriority w:val="0"/>
    <w:rPr>
      <w:sz w:val="21"/>
      <w:szCs w:val="21"/>
    </w:rPr>
  </w:style>
  <w:style w:type="character" w:styleId="11">
    <w:name w:val="footnote reference"/>
    <w:qFormat/>
    <w:uiPriority w:val="0"/>
    <w:rPr>
      <w:rFonts w:cs="Times New Roman"/>
      <w:vertAlign w:val="superscript"/>
    </w:rPr>
  </w:style>
  <w:style w:type="character" w:customStyle="1" w:styleId="12">
    <w:name w:val="批注文字 Char"/>
    <w:basedOn w:val="9"/>
    <w:link w:val="2"/>
    <w:uiPriority w:val="0"/>
    <w:rPr>
      <w:kern w:val="2"/>
      <w:sz w:val="21"/>
      <w:szCs w:val="22"/>
    </w:rPr>
  </w:style>
  <w:style w:type="character" w:customStyle="1" w:styleId="13">
    <w:name w:val="批注主题 Char"/>
    <w:basedOn w:val="12"/>
    <w:link w:val="7"/>
    <w:qFormat/>
    <w:uiPriority w:val="0"/>
    <w:rPr>
      <w:b/>
      <w:bCs/>
      <w:kern w:val="2"/>
      <w:sz w:val="21"/>
      <w:szCs w:val="22"/>
    </w:rPr>
  </w:style>
  <w:style w:type="character" w:customStyle="1" w:styleId="14">
    <w:name w:val="批注框文本 Char"/>
    <w:basedOn w:val="9"/>
    <w:link w:val="3"/>
    <w:uiPriority w:val="0"/>
    <w:rPr>
      <w:kern w:val="2"/>
      <w:sz w:val="18"/>
      <w:szCs w:val="18"/>
    </w:rPr>
  </w:style>
  <w:style w:type="character" w:customStyle="1" w:styleId="15">
    <w:name w:val="脚注文本 Char"/>
    <w:basedOn w:val="9"/>
    <w:link w:val="6"/>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Words>
  <Characters>804</Characters>
  <Lines>6</Lines>
  <Paragraphs>1</Paragraphs>
  <TotalTime>303</TotalTime>
  <ScaleCrop>false</ScaleCrop>
  <LinksUpToDate>false</LinksUpToDate>
  <CharactersWithSpaces>943</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赵彧</cp:lastModifiedBy>
  <dcterms:modified xsi:type="dcterms:W3CDTF">2023-02-08T08:51:32Z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FF6E6DD4A230BE5F14F2E2638AE600E9</vt:lpwstr>
  </property>
</Properties>
</file>